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71AA" w14:textId="38259F4C" w:rsid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Josh Seigel</w:t>
      </w:r>
      <w:r w:rsidRPr="00A74FA1">
        <w:rPr>
          <w:rFonts w:ascii="Calibri" w:hAnsi="Calibri" w:cs="Calibri"/>
          <w:sz w:val="20"/>
          <w:szCs w:val="20"/>
        </w:rPr>
        <w:br/>
        <w:t xml:space="preserve">115 Wardlow Lane, Kathleen, GA 31047 | (678) 756-8957 | </w:t>
      </w:r>
      <w:hyperlink r:id="rId5" w:history="1">
        <w:r w:rsidRPr="00A74FA1">
          <w:rPr>
            <w:rStyle w:val="Hyperlink"/>
            <w:rFonts w:ascii="Calibri" w:hAnsi="Calibri" w:cs="Calibri"/>
            <w:sz w:val="20"/>
            <w:szCs w:val="20"/>
          </w:rPr>
          <w:t>seigel.joshk@gmail.com</w:t>
        </w:r>
      </w:hyperlink>
      <w:r w:rsidRPr="00A74FA1">
        <w:rPr>
          <w:rFonts w:ascii="Calibri" w:hAnsi="Calibri" w:cs="Calibri"/>
          <w:sz w:val="20"/>
          <w:szCs w:val="20"/>
        </w:rPr>
        <w:t xml:space="preserve"> | </w:t>
      </w:r>
      <w:hyperlink r:id="rId6" w:history="1">
        <w:r w:rsidRPr="00A74FA1">
          <w:rPr>
            <w:rStyle w:val="Hyperlink"/>
            <w:rFonts w:ascii="Calibri" w:hAnsi="Calibri" w:cs="Calibri"/>
            <w:sz w:val="20"/>
            <w:szCs w:val="20"/>
          </w:rPr>
          <w:t>LinkedIn Profile</w:t>
        </w:r>
      </w:hyperlink>
    </w:p>
    <w:p w14:paraId="4970AEA7" w14:textId="4527F2D8" w:rsidR="00A74FA1" w:rsidRPr="00A74FA1" w:rsidRDefault="00752053" w:rsidP="00A74FA1">
      <w:pPr>
        <w:spacing w:line="240" w:lineRule="auto"/>
        <w:rPr>
          <w:rFonts w:ascii="Calibri" w:hAnsi="Calibri" w:cs="Calibri"/>
          <w:sz w:val="20"/>
          <w:szCs w:val="20"/>
        </w:rPr>
      </w:pPr>
      <w:r>
        <w:rPr>
          <w:sz w:val="20"/>
          <w:szCs w:val="20"/>
        </w:rPr>
        <w:pict w14:anchorId="02E92473">
          <v:rect id="_x0000_i1025" style="width:0;height:1.5pt" o:hralign="center" o:hrstd="t" o:hr="t" fillcolor="#a0a0a0" stroked="f"/>
        </w:pict>
      </w:r>
    </w:p>
    <w:p w14:paraId="0CB8E35F" w14:textId="67EE55A0" w:rsidR="00A74FA1" w:rsidRPr="00A74FA1" w:rsidRDefault="00A74FA1" w:rsidP="00A74FA1">
      <w:pPr>
        <w:spacing w:line="240" w:lineRule="auto"/>
        <w:rPr>
          <w:rFonts w:ascii="Calibri" w:hAnsi="Calibri" w:cs="Calibri"/>
          <w:sz w:val="20"/>
          <w:szCs w:val="20"/>
        </w:rPr>
      </w:pPr>
      <w:r>
        <w:rPr>
          <w:rFonts w:ascii="Calibri" w:hAnsi="Calibri" w:cs="Calibri"/>
          <w:b/>
          <w:bCs/>
          <w:sz w:val="20"/>
          <w:szCs w:val="20"/>
        </w:rPr>
        <w:t>Professional Summary</w:t>
      </w:r>
      <w:r>
        <w:rPr>
          <w:rFonts w:ascii="Calibri" w:hAnsi="Calibri" w:cs="Calibri"/>
          <w:b/>
          <w:bCs/>
          <w:sz w:val="20"/>
          <w:szCs w:val="20"/>
        </w:rPr>
        <w:br/>
      </w:r>
      <w:r w:rsidRPr="00A74FA1">
        <w:rPr>
          <w:rFonts w:ascii="Calibri" w:hAnsi="Calibri" w:cs="Calibri"/>
          <w:sz w:val="20"/>
          <w:szCs w:val="20"/>
        </w:rPr>
        <w:br/>
      </w:r>
      <w:r w:rsidR="0033533C" w:rsidRPr="0033533C">
        <w:rPr>
          <w:sz w:val="20"/>
          <w:szCs w:val="20"/>
        </w:rPr>
        <w:t>Infrastructure and Security Architect specializing in designing secure, highly available enterprise and public-sector environments. Expertise includes network segmentation, virtualization architecture, risk management, security governance, and regulatory compliance (PCI, HIPAA, NIST). Proven ability to align infrastructure modernization with business objectives, translate security risks into business impact, and support compliance-driven security programs.</w:t>
      </w:r>
      <w:r w:rsidR="00752053">
        <w:rPr>
          <w:sz w:val="20"/>
          <w:szCs w:val="20"/>
        </w:rPr>
        <w:pict w14:anchorId="2BF75CE0">
          <v:rect id="_x0000_i1026" style="width:0;height:1.5pt" o:hralign="center" o:hrstd="t" o:hr="t" fillcolor="#a0a0a0" stroked="f"/>
        </w:pict>
      </w:r>
    </w:p>
    <w:p w14:paraId="1D9226D9" w14:textId="09831A4A" w:rsidR="00A74FA1" w:rsidRPr="00A74FA1" w:rsidRDefault="00A74FA1" w:rsidP="00A74FA1">
      <w:pPr>
        <w:spacing w:line="240" w:lineRule="auto"/>
        <w:rPr>
          <w:rFonts w:ascii="Calibri" w:hAnsi="Calibri" w:cs="Calibri"/>
          <w:b/>
          <w:bCs/>
          <w:sz w:val="20"/>
          <w:szCs w:val="20"/>
        </w:rPr>
      </w:pPr>
      <w:r>
        <w:rPr>
          <w:rFonts w:ascii="Calibri" w:hAnsi="Calibri" w:cs="Calibri"/>
          <w:b/>
          <w:bCs/>
          <w:sz w:val="20"/>
          <w:szCs w:val="20"/>
        </w:rPr>
        <w:t>Professional Experience</w:t>
      </w:r>
    </w:p>
    <w:p w14:paraId="0AE9130D" w14:textId="77777777" w:rsidR="00A74FA1" w:rsidRP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Senior Systems and Security Engineer</w:t>
      </w:r>
      <w:r w:rsidRPr="00A74FA1">
        <w:rPr>
          <w:rFonts w:ascii="Calibri" w:hAnsi="Calibri" w:cs="Calibri"/>
          <w:sz w:val="20"/>
          <w:szCs w:val="20"/>
        </w:rPr>
        <w:t xml:space="preserve"> | </w:t>
      </w:r>
      <w:r w:rsidRPr="00A74FA1">
        <w:rPr>
          <w:rFonts w:ascii="Calibri" w:hAnsi="Calibri" w:cs="Calibri"/>
          <w:i/>
          <w:iCs/>
          <w:sz w:val="20"/>
          <w:szCs w:val="20"/>
        </w:rPr>
        <w:t>Total Computer Solutions</w:t>
      </w:r>
      <w:r w:rsidRPr="00A74FA1">
        <w:rPr>
          <w:rFonts w:ascii="Calibri" w:hAnsi="Calibri" w:cs="Calibri"/>
          <w:sz w:val="20"/>
          <w:szCs w:val="20"/>
        </w:rPr>
        <w:t xml:space="preserve"> | </w:t>
      </w:r>
      <w:r w:rsidRPr="00A74FA1">
        <w:rPr>
          <w:rFonts w:ascii="Calibri" w:hAnsi="Calibri" w:cs="Calibri"/>
          <w:i/>
          <w:iCs/>
          <w:sz w:val="20"/>
          <w:szCs w:val="20"/>
        </w:rPr>
        <w:t>April 2025 – Present</w:t>
      </w:r>
    </w:p>
    <w:p w14:paraId="2A8C8063" w14:textId="77777777" w:rsidR="00A74FA1" w:rsidRPr="00A74FA1" w:rsidRDefault="00A74FA1" w:rsidP="00A74FA1">
      <w:pPr>
        <w:numPr>
          <w:ilvl w:val="0"/>
          <w:numId w:val="1"/>
        </w:numPr>
        <w:spacing w:line="240" w:lineRule="auto"/>
        <w:rPr>
          <w:rFonts w:ascii="Calibri" w:hAnsi="Calibri" w:cs="Calibri"/>
          <w:sz w:val="20"/>
          <w:szCs w:val="20"/>
        </w:rPr>
      </w:pPr>
      <w:r w:rsidRPr="00A74FA1">
        <w:rPr>
          <w:rFonts w:ascii="Calibri" w:hAnsi="Calibri" w:cs="Calibri"/>
          <w:sz w:val="20"/>
          <w:szCs w:val="20"/>
        </w:rPr>
        <w:t>Lead architecture and deployment of secure, high-availability infrastructure environments across enterprise networks.</w:t>
      </w:r>
    </w:p>
    <w:p w14:paraId="6B262550" w14:textId="1E79A4A5" w:rsidR="00A74FA1" w:rsidRPr="00A74FA1" w:rsidRDefault="00B4797E" w:rsidP="00A74FA1">
      <w:pPr>
        <w:numPr>
          <w:ilvl w:val="0"/>
          <w:numId w:val="1"/>
        </w:numPr>
        <w:spacing w:line="240" w:lineRule="auto"/>
        <w:rPr>
          <w:rFonts w:ascii="Calibri" w:hAnsi="Calibri" w:cs="Calibri"/>
          <w:sz w:val="20"/>
          <w:szCs w:val="20"/>
        </w:rPr>
      </w:pPr>
      <w:r w:rsidRPr="00B4797E">
        <w:rPr>
          <w:rFonts w:ascii="Calibri" w:hAnsi="Calibri" w:cs="Calibri"/>
          <w:sz w:val="20"/>
          <w:szCs w:val="20"/>
        </w:rPr>
        <w:t>Evaluate third-party tools and solutions to ensure alignment with organizational security and compliance requirements</w:t>
      </w:r>
      <w:r w:rsidR="00A74FA1" w:rsidRPr="00A74FA1">
        <w:rPr>
          <w:rFonts w:ascii="Calibri" w:hAnsi="Calibri" w:cs="Calibri"/>
          <w:sz w:val="20"/>
          <w:szCs w:val="20"/>
        </w:rPr>
        <w:t>.</w:t>
      </w:r>
    </w:p>
    <w:p w14:paraId="3172559D" w14:textId="77777777" w:rsidR="00A74FA1" w:rsidRPr="00A74FA1" w:rsidRDefault="00A74FA1" w:rsidP="00A74FA1">
      <w:pPr>
        <w:numPr>
          <w:ilvl w:val="0"/>
          <w:numId w:val="1"/>
        </w:numPr>
        <w:spacing w:line="240" w:lineRule="auto"/>
        <w:rPr>
          <w:rFonts w:ascii="Calibri" w:hAnsi="Calibri" w:cs="Calibri"/>
          <w:sz w:val="20"/>
          <w:szCs w:val="20"/>
        </w:rPr>
      </w:pPr>
      <w:r w:rsidRPr="00A74FA1">
        <w:rPr>
          <w:rFonts w:ascii="Calibri" w:hAnsi="Calibri" w:cs="Calibri"/>
          <w:sz w:val="20"/>
          <w:szCs w:val="20"/>
        </w:rPr>
        <w:t>Oversee enterprise vulnerability management programs using risk-based remediation strategies.</w:t>
      </w:r>
    </w:p>
    <w:p w14:paraId="0A4B4314" w14:textId="77777777" w:rsidR="00A74FA1" w:rsidRPr="00A74FA1" w:rsidRDefault="00A74FA1" w:rsidP="00A74FA1">
      <w:pPr>
        <w:numPr>
          <w:ilvl w:val="0"/>
          <w:numId w:val="1"/>
        </w:numPr>
        <w:spacing w:line="240" w:lineRule="auto"/>
        <w:rPr>
          <w:rFonts w:ascii="Calibri" w:hAnsi="Calibri" w:cs="Calibri"/>
          <w:sz w:val="20"/>
          <w:szCs w:val="20"/>
        </w:rPr>
      </w:pPr>
      <w:r w:rsidRPr="00A74FA1">
        <w:rPr>
          <w:rFonts w:ascii="Calibri" w:hAnsi="Calibri" w:cs="Calibri"/>
          <w:sz w:val="20"/>
          <w:szCs w:val="20"/>
        </w:rPr>
        <w:t>Architect Microsoft 365 and Entra ID security posture including Conditional Access, identity protection, and privilege governance.</w:t>
      </w:r>
    </w:p>
    <w:p w14:paraId="0458FDFB" w14:textId="77777777" w:rsidR="00A74FA1" w:rsidRDefault="00A74FA1" w:rsidP="00A74FA1">
      <w:pPr>
        <w:numPr>
          <w:ilvl w:val="0"/>
          <w:numId w:val="1"/>
        </w:numPr>
        <w:spacing w:line="240" w:lineRule="auto"/>
        <w:rPr>
          <w:rFonts w:ascii="Calibri" w:hAnsi="Calibri" w:cs="Calibri"/>
          <w:sz w:val="20"/>
          <w:szCs w:val="20"/>
        </w:rPr>
      </w:pPr>
      <w:r w:rsidRPr="00A74FA1">
        <w:rPr>
          <w:rFonts w:ascii="Calibri" w:hAnsi="Calibri" w:cs="Calibri"/>
          <w:sz w:val="20"/>
          <w:szCs w:val="20"/>
        </w:rPr>
        <w:t>Design and validate backup and disaster recovery solutions protecting 1,500+ endpoints and mission-critical servers.</w:t>
      </w:r>
    </w:p>
    <w:p w14:paraId="6ABBB9C9" w14:textId="6BA9D7C7" w:rsidR="00377051" w:rsidRDefault="00287B2D" w:rsidP="00A74FA1">
      <w:pPr>
        <w:numPr>
          <w:ilvl w:val="0"/>
          <w:numId w:val="1"/>
        </w:numPr>
        <w:spacing w:line="240" w:lineRule="auto"/>
        <w:rPr>
          <w:rFonts w:ascii="Calibri" w:hAnsi="Calibri" w:cs="Calibri"/>
          <w:sz w:val="20"/>
          <w:szCs w:val="20"/>
        </w:rPr>
      </w:pPr>
      <w:r w:rsidRPr="00287B2D">
        <w:rPr>
          <w:rFonts w:ascii="Calibri" w:hAnsi="Calibri" w:cs="Calibri"/>
          <w:sz w:val="20"/>
          <w:szCs w:val="20"/>
        </w:rPr>
        <w:t>Support security and compliance initiatives aligned with PCI, HIPAA, and industry frameworks, assisting in identification and remediation of control gaps.</w:t>
      </w:r>
    </w:p>
    <w:p w14:paraId="7C319D45" w14:textId="12A8A482" w:rsidR="00670747" w:rsidRPr="00A74FA1" w:rsidRDefault="00EE55F8" w:rsidP="00A74FA1">
      <w:pPr>
        <w:numPr>
          <w:ilvl w:val="0"/>
          <w:numId w:val="1"/>
        </w:numPr>
        <w:spacing w:line="240" w:lineRule="auto"/>
        <w:rPr>
          <w:rFonts w:ascii="Calibri" w:hAnsi="Calibri" w:cs="Calibri"/>
          <w:sz w:val="20"/>
          <w:szCs w:val="20"/>
        </w:rPr>
      </w:pPr>
      <w:r>
        <w:rPr>
          <w:rFonts w:ascii="Calibri" w:hAnsi="Calibri" w:cs="Calibri"/>
          <w:sz w:val="20"/>
          <w:szCs w:val="20"/>
        </w:rPr>
        <w:t>Collaborate with leadership and stakeholders to align security controls with business and compliance requirements.</w:t>
      </w:r>
    </w:p>
    <w:p w14:paraId="231E841F" w14:textId="35BBCFEB" w:rsidR="00A74FA1" w:rsidRPr="00055BD9" w:rsidRDefault="00055BD9" w:rsidP="00055BD9">
      <w:pPr>
        <w:pStyle w:val="ListParagraph"/>
        <w:numPr>
          <w:ilvl w:val="0"/>
          <w:numId w:val="1"/>
        </w:numPr>
        <w:spacing w:line="240" w:lineRule="auto"/>
        <w:rPr>
          <w:rFonts w:ascii="Calibri" w:hAnsi="Calibri" w:cs="Calibri"/>
          <w:sz w:val="20"/>
          <w:szCs w:val="20"/>
        </w:rPr>
      </w:pPr>
      <w:r w:rsidRPr="00055BD9">
        <w:rPr>
          <w:rFonts w:ascii="Calibri" w:hAnsi="Calibri" w:cs="Calibri"/>
          <w:sz w:val="20"/>
          <w:szCs w:val="20"/>
        </w:rPr>
        <w:t>Serve as escalation authority for complex infrastructure and cybersecurity incidents, ensuring proper response, containment, and documentation</w:t>
      </w:r>
      <w:r w:rsidR="008F35A5">
        <w:rPr>
          <w:rFonts w:ascii="Calibri" w:hAnsi="Calibri" w:cs="Calibri"/>
          <w:sz w:val="20"/>
          <w:szCs w:val="20"/>
        </w:rPr>
        <w:t>.</w:t>
      </w:r>
      <w:r w:rsidR="00752053">
        <w:pict w14:anchorId="64BF6097">
          <v:rect id="_x0000_i1027" style="width:0;height:1.5pt" o:hralign="center" o:hrstd="t" o:hr="t" fillcolor="#a0a0a0" stroked="f"/>
        </w:pict>
      </w:r>
    </w:p>
    <w:p w14:paraId="55818838" w14:textId="77777777" w:rsidR="00A74FA1" w:rsidRP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Senior Systems Engineer</w:t>
      </w:r>
      <w:r w:rsidRPr="00A74FA1">
        <w:rPr>
          <w:rFonts w:ascii="Calibri" w:hAnsi="Calibri" w:cs="Calibri"/>
          <w:sz w:val="20"/>
          <w:szCs w:val="20"/>
        </w:rPr>
        <w:t xml:space="preserve"> | </w:t>
      </w:r>
      <w:r w:rsidRPr="00A74FA1">
        <w:rPr>
          <w:rFonts w:ascii="Calibri" w:hAnsi="Calibri" w:cs="Calibri"/>
          <w:i/>
          <w:iCs/>
          <w:sz w:val="20"/>
          <w:szCs w:val="20"/>
        </w:rPr>
        <w:t>AdvanTech</w:t>
      </w:r>
      <w:r w:rsidRPr="00A74FA1">
        <w:rPr>
          <w:rFonts w:ascii="Calibri" w:hAnsi="Calibri" w:cs="Calibri"/>
          <w:sz w:val="20"/>
          <w:szCs w:val="20"/>
        </w:rPr>
        <w:t xml:space="preserve"> | </w:t>
      </w:r>
      <w:r w:rsidRPr="00A74FA1">
        <w:rPr>
          <w:rFonts w:ascii="Calibri" w:hAnsi="Calibri" w:cs="Calibri"/>
          <w:i/>
          <w:iCs/>
          <w:sz w:val="20"/>
          <w:szCs w:val="20"/>
        </w:rPr>
        <w:t>September 2024 – April 2025</w:t>
      </w:r>
    </w:p>
    <w:p w14:paraId="6553AC7A" w14:textId="77777777" w:rsidR="00A74FA1" w:rsidRPr="00A74FA1" w:rsidRDefault="00A74FA1" w:rsidP="00A74FA1">
      <w:pPr>
        <w:numPr>
          <w:ilvl w:val="0"/>
          <w:numId w:val="2"/>
        </w:numPr>
        <w:spacing w:line="240" w:lineRule="auto"/>
        <w:rPr>
          <w:rFonts w:ascii="Calibri" w:hAnsi="Calibri" w:cs="Calibri"/>
          <w:sz w:val="20"/>
          <w:szCs w:val="20"/>
        </w:rPr>
      </w:pPr>
      <w:r w:rsidRPr="00A74FA1">
        <w:rPr>
          <w:rFonts w:ascii="Calibri" w:hAnsi="Calibri" w:cs="Calibri"/>
          <w:sz w:val="20"/>
          <w:szCs w:val="20"/>
        </w:rPr>
        <w:t>Designed secure Active Directory, DNS, and DHCP infrastructures optimized for resilience and scalability.</w:t>
      </w:r>
    </w:p>
    <w:p w14:paraId="560C9FE2" w14:textId="77777777" w:rsidR="00A74FA1" w:rsidRPr="00A74FA1" w:rsidRDefault="00A74FA1" w:rsidP="00A74FA1">
      <w:pPr>
        <w:numPr>
          <w:ilvl w:val="0"/>
          <w:numId w:val="2"/>
        </w:numPr>
        <w:spacing w:line="240" w:lineRule="auto"/>
        <w:rPr>
          <w:rFonts w:ascii="Calibri" w:hAnsi="Calibri" w:cs="Calibri"/>
          <w:sz w:val="20"/>
          <w:szCs w:val="20"/>
        </w:rPr>
      </w:pPr>
      <w:r w:rsidRPr="00A74FA1">
        <w:rPr>
          <w:rFonts w:ascii="Calibri" w:hAnsi="Calibri" w:cs="Calibri"/>
          <w:sz w:val="20"/>
          <w:szCs w:val="20"/>
        </w:rPr>
        <w:t>Led enterprise email security modernization including DKIM, SPF, and advanced filtering controls.</w:t>
      </w:r>
    </w:p>
    <w:p w14:paraId="3D5E7998" w14:textId="77777777" w:rsidR="00A74FA1" w:rsidRPr="00A74FA1" w:rsidRDefault="00A74FA1" w:rsidP="00A74FA1">
      <w:pPr>
        <w:numPr>
          <w:ilvl w:val="0"/>
          <w:numId w:val="2"/>
        </w:numPr>
        <w:spacing w:line="240" w:lineRule="auto"/>
        <w:rPr>
          <w:rFonts w:ascii="Calibri" w:hAnsi="Calibri" w:cs="Calibri"/>
          <w:sz w:val="20"/>
          <w:szCs w:val="20"/>
        </w:rPr>
      </w:pPr>
      <w:r w:rsidRPr="00A74FA1">
        <w:rPr>
          <w:rFonts w:ascii="Calibri" w:hAnsi="Calibri" w:cs="Calibri"/>
          <w:sz w:val="20"/>
          <w:szCs w:val="20"/>
        </w:rPr>
        <w:t>Managed VMware and Hyper-V environments improving redundancy and performance.</w:t>
      </w:r>
    </w:p>
    <w:p w14:paraId="6C6B838C" w14:textId="77777777" w:rsidR="00A74FA1" w:rsidRPr="00A74FA1" w:rsidRDefault="00A74FA1" w:rsidP="00A74FA1">
      <w:pPr>
        <w:numPr>
          <w:ilvl w:val="0"/>
          <w:numId w:val="2"/>
        </w:numPr>
        <w:spacing w:line="240" w:lineRule="auto"/>
        <w:rPr>
          <w:rFonts w:ascii="Calibri" w:hAnsi="Calibri" w:cs="Calibri"/>
          <w:sz w:val="20"/>
          <w:szCs w:val="20"/>
        </w:rPr>
      </w:pPr>
      <w:r w:rsidRPr="00A74FA1">
        <w:rPr>
          <w:rFonts w:ascii="Calibri" w:hAnsi="Calibri" w:cs="Calibri"/>
          <w:sz w:val="20"/>
          <w:szCs w:val="20"/>
        </w:rPr>
        <w:t>Conducted vulnerability assessments and directed remediation aligned with PCI and HIPAA compliance.</w:t>
      </w:r>
    </w:p>
    <w:p w14:paraId="73A28F10" w14:textId="77777777" w:rsidR="00A74FA1" w:rsidRDefault="00A74FA1" w:rsidP="00A74FA1">
      <w:pPr>
        <w:numPr>
          <w:ilvl w:val="0"/>
          <w:numId w:val="2"/>
        </w:numPr>
        <w:spacing w:line="240" w:lineRule="auto"/>
        <w:rPr>
          <w:rFonts w:ascii="Calibri" w:hAnsi="Calibri" w:cs="Calibri"/>
          <w:sz w:val="20"/>
          <w:szCs w:val="20"/>
        </w:rPr>
      </w:pPr>
      <w:r w:rsidRPr="00A74FA1">
        <w:rPr>
          <w:rFonts w:ascii="Calibri" w:hAnsi="Calibri" w:cs="Calibri"/>
          <w:sz w:val="20"/>
          <w:szCs w:val="20"/>
        </w:rPr>
        <w:t>Designed encrypted offsite backup and disaster recovery strategies supporting business continuity.</w:t>
      </w:r>
    </w:p>
    <w:p w14:paraId="1947654E" w14:textId="7CC930AD" w:rsidR="00A74FA1" w:rsidRPr="00A74FA1" w:rsidRDefault="00752053" w:rsidP="00A74FA1">
      <w:pPr>
        <w:spacing w:line="240" w:lineRule="auto"/>
        <w:rPr>
          <w:rFonts w:ascii="Calibri" w:hAnsi="Calibri" w:cs="Calibri"/>
          <w:sz w:val="20"/>
          <w:szCs w:val="20"/>
        </w:rPr>
      </w:pPr>
      <w:r>
        <w:rPr>
          <w:sz w:val="20"/>
          <w:szCs w:val="20"/>
        </w:rPr>
        <w:pict w14:anchorId="63061E67">
          <v:rect id="_x0000_i1028" style="width:0;height:1.5pt" o:hralign="center" o:hrstd="t" o:hr="t" fillcolor="#a0a0a0" stroked="f"/>
        </w:pict>
      </w:r>
    </w:p>
    <w:p w14:paraId="3E5746BC" w14:textId="77777777" w:rsidR="00A74FA1" w:rsidRP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Cyber Security Engineer</w:t>
      </w:r>
      <w:r w:rsidRPr="00A74FA1">
        <w:rPr>
          <w:rFonts w:ascii="Calibri" w:hAnsi="Calibri" w:cs="Calibri"/>
          <w:sz w:val="20"/>
          <w:szCs w:val="20"/>
        </w:rPr>
        <w:t xml:space="preserve"> | </w:t>
      </w:r>
      <w:r w:rsidRPr="00A74FA1">
        <w:rPr>
          <w:rFonts w:ascii="Calibri" w:hAnsi="Calibri" w:cs="Calibri"/>
          <w:i/>
          <w:iCs/>
          <w:sz w:val="20"/>
          <w:szCs w:val="20"/>
        </w:rPr>
        <w:t>AdvanTech</w:t>
      </w:r>
      <w:r w:rsidRPr="00A74FA1">
        <w:rPr>
          <w:rFonts w:ascii="Calibri" w:hAnsi="Calibri" w:cs="Calibri"/>
          <w:sz w:val="20"/>
          <w:szCs w:val="20"/>
        </w:rPr>
        <w:t xml:space="preserve"> | </w:t>
      </w:r>
      <w:r w:rsidRPr="00A74FA1">
        <w:rPr>
          <w:rFonts w:ascii="Calibri" w:hAnsi="Calibri" w:cs="Calibri"/>
          <w:i/>
          <w:iCs/>
          <w:sz w:val="20"/>
          <w:szCs w:val="20"/>
        </w:rPr>
        <w:t>June 2022 – September 2024</w:t>
      </w:r>
    </w:p>
    <w:p w14:paraId="35415FC2" w14:textId="77777777" w:rsidR="00A74FA1" w:rsidRPr="00A74FA1" w:rsidRDefault="00A74FA1" w:rsidP="00A74FA1">
      <w:pPr>
        <w:numPr>
          <w:ilvl w:val="0"/>
          <w:numId w:val="3"/>
        </w:numPr>
        <w:spacing w:line="240" w:lineRule="auto"/>
        <w:rPr>
          <w:rFonts w:ascii="Calibri" w:hAnsi="Calibri" w:cs="Calibri"/>
          <w:sz w:val="20"/>
          <w:szCs w:val="20"/>
        </w:rPr>
      </w:pPr>
      <w:r w:rsidRPr="00A74FA1">
        <w:rPr>
          <w:rFonts w:ascii="Calibri" w:hAnsi="Calibri" w:cs="Calibri"/>
          <w:sz w:val="20"/>
          <w:szCs w:val="20"/>
        </w:rPr>
        <w:lastRenderedPageBreak/>
        <w:t>Implemented MFA, zero-trust access controls, and least-privilege governance across enterprise environments.</w:t>
      </w:r>
    </w:p>
    <w:p w14:paraId="28035791" w14:textId="77777777" w:rsidR="00A74FA1" w:rsidRPr="00A74FA1" w:rsidRDefault="00A74FA1" w:rsidP="00A74FA1">
      <w:pPr>
        <w:numPr>
          <w:ilvl w:val="0"/>
          <w:numId w:val="3"/>
        </w:numPr>
        <w:spacing w:line="240" w:lineRule="auto"/>
        <w:rPr>
          <w:rFonts w:ascii="Calibri" w:hAnsi="Calibri" w:cs="Calibri"/>
          <w:sz w:val="20"/>
          <w:szCs w:val="20"/>
        </w:rPr>
      </w:pPr>
      <w:r w:rsidRPr="00A74FA1">
        <w:rPr>
          <w:rFonts w:ascii="Calibri" w:hAnsi="Calibri" w:cs="Calibri"/>
          <w:sz w:val="20"/>
          <w:szCs w:val="20"/>
        </w:rPr>
        <w:t>Led vulnerability remediation initiatives securing network edge devices and endpoints.</w:t>
      </w:r>
    </w:p>
    <w:p w14:paraId="23431119" w14:textId="77777777" w:rsidR="00A74FA1" w:rsidRPr="00A74FA1" w:rsidRDefault="00A74FA1" w:rsidP="00A74FA1">
      <w:pPr>
        <w:numPr>
          <w:ilvl w:val="0"/>
          <w:numId w:val="3"/>
        </w:numPr>
        <w:spacing w:line="240" w:lineRule="auto"/>
        <w:rPr>
          <w:rFonts w:ascii="Calibri" w:hAnsi="Calibri" w:cs="Calibri"/>
          <w:sz w:val="20"/>
          <w:szCs w:val="20"/>
        </w:rPr>
      </w:pPr>
      <w:r w:rsidRPr="00A74FA1">
        <w:rPr>
          <w:rFonts w:ascii="Calibri" w:hAnsi="Calibri" w:cs="Calibri"/>
          <w:sz w:val="20"/>
          <w:szCs w:val="20"/>
        </w:rPr>
        <w:t>Architected advanced email security controls reducing phishing incidents by 40%.</w:t>
      </w:r>
    </w:p>
    <w:p w14:paraId="5EF3A121" w14:textId="77777777" w:rsidR="00A74FA1" w:rsidRPr="00A74FA1" w:rsidRDefault="00A74FA1" w:rsidP="00A74FA1">
      <w:pPr>
        <w:numPr>
          <w:ilvl w:val="0"/>
          <w:numId w:val="3"/>
        </w:numPr>
        <w:spacing w:line="240" w:lineRule="auto"/>
        <w:rPr>
          <w:rFonts w:ascii="Calibri" w:hAnsi="Calibri" w:cs="Calibri"/>
          <w:sz w:val="20"/>
          <w:szCs w:val="20"/>
        </w:rPr>
      </w:pPr>
      <w:r w:rsidRPr="00A74FA1">
        <w:rPr>
          <w:rFonts w:ascii="Calibri" w:hAnsi="Calibri" w:cs="Calibri"/>
          <w:sz w:val="20"/>
          <w:szCs w:val="20"/>
        </w:rPr>
        <w:t>Supported PCI and HIPAA compliance initiatives and remediation of audit findings.</w:t>
      </w:r>
    </w:p>
    <w:p w14:paraId="43795FE8" w14:textId="77777777" w:rsidR="00A74FA1" w:rsidRDefault="00A74FA1" w:rsidP="00A74FA1">
      <w:pPr>
        <w:numPr>
          <w:ilvl w:val="0"/>
          <w:numId w:val="3"/>
        </w:numPr>
        <w:spacing w:line="240" w:lineRule="auto"/>
        <w:rPr>
          <w:rFonts w:ascii="Calibri" w:hAnsi="Calibri" w:cs="Calibri"/>
          <w:sz w:val="20"/>
          <w:szCs w:val="20"/>
        </w:rPr>
      </w:pPr>
      <w:r w:rsidRPr="00A74FA1">
        <w:rPr>
          <w:rFonts w:ascii="Calibri" w:hAnsi="Calibri" w:cs="Calibri"/>
          <w:sz w:val="20"/>
          <w:szCs w:val="20"/>
        </w:rPr>
        <w:t>Coordinated incident response activities including containment, analysis, and root cause investigation.</w:t>
      </w:r>
    </w:p>
    <w:p w14:paraId="5F26AFB3" w14:textId="32C8CCC7" w:rsidR="00A74FA1" w:rsidRPr="00A74FA1" w:rsidRDefault="00752053" w:rsidP="00A74FA1">
      <w:pPr>
        <w:spacing w:line="240" w:lineRule="auto"/>
        <w:rPr>
          <w:rFonts w:ascii="Calibri" w:hAnsi="Calibri" w:cs="Calibri"/>
          <w:sz w:val="20"/>
          <w:szCs w:val="20"/>
        </w:rPr>
      </w:pPr>
      <w:r>
        <w:rPr>
          <w:sz w:val="20"/>
          <w:szCs w:val="20"/>
        </w:rPr>
        <w:pict w14:anchorId="6A2F4722">
          <v:rect id="_x0000_i1029" style="width:0;height:1.5pt" o:hralign="center" o:hrstd="t" o:hr="t" fillcolor="#a0a0a0" stroked="f"/>
        </w:pict>
      </w:r>
    </w:p>
    <w:p w14:paraId="226116DB" w14:textId="77777777" w:rsidR="00A74FA1" w:rsidRP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IS Technician I &amp; II</w:t>
      </w:r>
      <w:r w:rsidRPr="00A74FA1">
        <w:rPr>
          <w:rFonts w:ascii="Calibri" w:hAnsi="Calibri" w:cs="Calibri"/>
          <w:sz w:val="20"/>
          <w:szCs w:val="20"/>
        </w:rPr>
        <w:t xml:space="preserve"> | </w:t>
      </w:r>
      <w:r w:rsidRPr="00A74FA1">
        <w:rPr>
          <w:rFonts w:ascii="Calibri" w:hAnsi="Calibri" w:cs="Calibri"/>
          <w:i/>
          <w:iCs/>
          <w:sz w:val="20"/>
          <w:szCs w:val="20"/>
        </w:rPr>
        <w:t>Navicent Health</w:t>
      </w:r>
      <w:r w:rsidRPr="00A74FA1">
        <w:rPr>
          <w:rFonts w:ascii="Calibri" w:hAnsi="Calibri" w:cs="Calibri"/>
          <w:sz w:val="20"/>
          <w:szCs w:val="20"/>
        </w:rPr>
        <w:t xml:space="preserve"> | </w:t>
      </w:r>
      <w:r w:rsidRPr="00A74FA1">
        <w:rPr>
          <w:rFonts w:ascii="Calibri" w:hAnsi="Calibri" w:cs="Calibri"/>
          <w:i/>
          <w:iCs/>
          <w:sz w:val="20"/>
          <w:szCs w:val="20"/>
        </w:rPr>
        <w:t>January 2018 – May 2022</w:t>
      </w:r>
    </w:p>
    <w:p w14:paraId="01B6A5A8" w14:textId="77777777" w:rsidR="00A74FA1" w:rsidRPr="00A74FA1" w:rsidRDefault="00A74FA1" w:rsidP="00A74FA1">
      <w:pPr>
        <w:numPr>
          <w:ilvl w:val="0"/>
          <w:numId w:val="4"/>
        </w:numPr>
        <w:spacing w:line="240" w:lineRule="auto"/>
        <w:rPr>
          <w:rFonts w:ascii="Calibri" w:hAnsi="Calibri" w:cs="Calibri"/>
          <w:sz w:val="20"/>
          <w:szCs w:val="20"/>
        </w:rPr>
      </w:pPr>
      <w:r w:rsidRPr="00A74FA1">
        <w:rPr>
          <w:rFonts w:ascii="Calibri" w:hAnsi="Calibri" w:cs="Calibri"/>
          <w:sz w:val="20"/>
          <w:szCs w:val="20"/>
        </w:rPr>
        <w:t>Supported Epic EMR deployment across 2,500+ workstations and 500+ printers.</w:t>
      </w:r>
    </w:p>
    <w:p w14:paraId="56FDC631" w14:textId="77777777" w:rsidR="00A74FA1" w:rsidRPr="00A74FA1" w:rsidRDefault="00A74FA1" w:rsidP="00A74FA1">
      <w:pPr>
        <w:numPr>
          <w:ilvl w:val="0"/>
          <w:numId w:val="4"/>
        </w:numPr>
        <w:spacing w:line="240" w:lineRule="auto"/>
        <w:rPr>
          <w:rFonts w:ascii="Calibri" w:hAnsi="Calibri" w:cs="Calibri"/>
          <w:sz w:val="20"/>
          <w:szCs w:val="20"/>
        </w:rPr>
      </w:pPr>
      <w:r w:rsidRPr="00A74FA1">
        <w:rPr>
          <w:rFonts w:ascii="Calibri" w:hAnsi="Calibri" w:cs="Calibri"/>
          <w:sz w:val="20"/>
          <w:szCs w:val="20"/>
        </w:rPr>
        <w:t>Assisted infrastructure deployment for Beverly Knight Olson Children’s Hospital expansion.</w:t>
      </w:r>
    </w:p>
    <w:p w14:paraId="60A92D6D" w14:textId="77777777" w:rsidR="00A74FA1" w:rsidRPr="00A74FA1" w:rsidRDefault="00A74FA1" w:rsidP="00A74FA1">
      <w:pPr>
        <w:numPr>
          <w:ilvl w:val="0"/>
          <w:numId w:val="4"/>
        </w:numPr>
        <w:spacing w:line="240" w:lineRule="auto"/>
        <w:rPr>
          <w:rFonts w:ascii="Calibri" w:hAnsi="Calibri" w:cs="Calibri"/>
          <w:sz w:val="20"/>
          <w:szCs w:val="20"/>
        </w:rPr>
      </w:pPr>
      <w:r w:rsidRPr="00A74FA1">
        <w:rPr>
          <w:rFonts w:ascii="Calibri" w:hAnsi="Calibri" w:cs="Calibri"/>
          <w:sz w:val="20"/>
          <w:szCs w:val="20"/>
        </w:rPr>
        <w:t>Managed enterprise print server environments including driver standardization and access control.</w:t>
      </w:r>
    </w:p>
    <w:p w14:paraId="5540A775" w14:textId="77777777" w:rsidR="00A74FA1" w:rsidRDefault="00A74FA1" w:rsidP="00A74FA1">
      <w:pPr>
        <w:numPr>
          <w:ilvl w:val="0"/>
          <w:numId w:val="4"/>
        </w:numPr>
        <w:spacing w:line="240" w:lineRule="auto"/>
        <w:rPr>
          <w:rFonts w:ascii="Calibri" w:hAnsi="Calibri" w:cs="Calibri"/>
          <w:sz w:val="20"/>
          <w:szCs w:val="20"/>
        </w:rPr>
      </w:pPr>
      <w:r w:rsidRPr="00A74FA1">
        <w:rPr>
          <w:rFonts w:ascii="Calibri" w:hAnsi="Calibri" w:cs="Calibri"/>
          <w:sz w:val="20"/>
          <w:szCs w:val="20"/>
        </w:rPr>
        <w:t>Supported infrastructure integration during Navicent–Atrium Health merger.</w:t>
      </w:r>
    </w:p>
    <w:p w14:paraId="6CF07FBF" w14:textId="7BB86BF3" w:rsidR="00A74FA1" w:rsidRPr="00A74FA1" w:rsidRDefault="00752053" w:rsidP="00A74FA1">
      <w:pPr>
        <w:spacing w:line="240" w:lineRule="auto"/>
        <w:rPr>
          <w:rFonts w:ascii="Calibri" w:hAnsi="Calibri" w:cs="Calibri"/>
          <w:sz w:val="20"/>
          <w:szCs w:val="20"/>
        </w:rPr>
      </w:pPr>
      <w:r>
        <w:rPr>
          <w:sz w:val="20"/>
          <w:szCs w:val="20"/>
        </w:rPr>
        <w:pict w14:anchorId="6161B061">
          <v:rect id="_x0000_i1030" style="width:0;height:1.5pt" o:hralign="center" o:hrstd="t" o:hr="t" fillcolor="#a0a0a0" stroked="f"/>
        </w:pict>
      </w:r>
    </w:p>
    <w:p w14:paraId="2C650CD2" w14:textId="211851EF" w:rsidR="00A74FA1" w:rsidRDefault="00055BD9" w:rsidP="00A74FA1">
      <w:pPr>
        <w:spacing w:line="240" w:lineRule="auto"/>
        <w:rPr>
          <w:rFonts w:ascii="Calibri" w:hAnsi="Calibri" w:cs="Calibri"/>
          <w:sz w:val="20"/>
          <w:szCs w:val="20"/>
        </w:rPr>
      </w:pPr>
      <w:r>
        <w:rPr>
          <w:rFonts w:ascii="Calibri" w:hAnsi="Calibri" w:cs="Calibri"/>
          <w:b/>
          <w:bCs/>
          <w:sz w:val="20"/>
          <w:szCs w:val="20"/>
        </w:rPr>
        <w:t>Certifications:</w:t>
      </w:r>
      <w:r w:rsidR="00A74FA1" w:rsidRPr="00A74FA1">
        <w:rPr>
          <w:rFonts w:ascii="Calibri" w:hAnsi="Calibri" w:cs="Calibri"/>
          <w:sz w:val="20"/>
          <w:szCs w:val="20"/>
        </w:rPr>
        <w:t xml:space="preserve"> CISSP</w:t>
      </w:r>
      <w:r w:rsidR="00A74FA1">
        <w:rPr>
          <w:rFonts w:ascii="Calibri" w:hAnsi="Calibri" w:cs="Calibri"/>
          <w:sz w:val="20"/>
          <w:szCs w:val="20"/>
        </w:rPr>
        <w:t>,</w:t>
      </w:r>
      <w:r w:rsidR="00A74FA1" w:rsidRPr="00A74FA1">
        <w:rPr>
          <w:rFonts w:ascii="Calibri" w:hAnsi="Calibri" w:cs="Calibri"/>
          <w:sz w:val="20"/>
          <w:szCs w:val="20"/>
        </w:rPr>
        <w:t xml:space="preserve"> CISM</w:t>
      </w:r>
      <w:r w:rsidR="00A74FA1">
        <w:rPr>
          <w:rFonts w:ascii="Calibri" w:hAnsi="Calibri" w:cs="Calibri"/>
          <w:sz w:val="20"/>
          <w:szCs w:val="20"/>
        </w:rPr>
        <w:t xml:space="preserve">, </w:t>
      </w:r>
      <w:r w:rsidR="00A74FA1" w:rsidRPr="00A74FA1">
        <w:rPr>
          <w:rFonts w:ascii="Calibri" w:hAnsi="Calibri" w:cs="Calibri"/>
          <w:sz w:val="20"/>
          <w:szCs w:val="20"/>
        </w:rPr>
        <w:t>SecurityX (CASP+), CySA+, Security+, Network+</w:t>
      </w:r>
      <w:r w:rsidR="00A74FA1">
        <w:rPr>
          <w:rFonts w:ascii="Calibri" w:hAnsi="Calibri" w:cs="Calibri"/>
          <w:sz w:val="20"/>
          <w:szCs w:val="20"/>
        </w:rPr>
        <w:t>,</w:t>
      </w:r>
      <w:r w:rsidR="008E6702">
        <w:rPr>
          <w:rFonts w:ascii="Calibri" w:hAnsi="Calibri" w:cs="Calibri"/>
          <w:sz w:val="20"/>
          <w:szCs w:val="20"/>
        </w:rPr>
        <w:t xml:space="preserve"> A+</w:t>
      </w:r>
      <w:r w:rsidR="0041658E">
        <w:rPr>
          <w:rFonts w:ascii="Calibri" w:hAnsi="Calibri" w:cs="Calibri"/>
          <w:sz w:val="20"/>
          <w:szCs w:val="20"/>
        </w:rPr>
        <w:t xml:space="preserve">, ITIL 4, LPI Essentials, </w:t>
      </w:r>
      <w:r w:rsidR="00A74FA1" w:rsidRPr="00A74FA1">
        <w:rPr>
          <w:rFonts w:ascii="Calibri" w:hAnsi="Calibri" w:cs="Calibri"/>
          <w:sz w:val="20"/>
          <w:szCs w:val="20"/>
        </w:rPr>
        <w:t>PMP</w:t>
      </w:r>
    </w:p>
    <w:p w14:paraId="7DB6493B" w14:textId="6F2D4A9D" w:rsidR="00C67E12" w:rsidRPr="00A74FA1" w:rsidRDefault="00752053" w:rsidP="00A74FA1">
      <w:pPr>
        <w:spacing w:line="240" w:lineRule="auto"/>
        <w:rPr>
          <w:rFonts w:ascii="Calibri" w:hAnsi="Calibri" w:cs="Calibri"/>
          <w:sz w:val="20"/>
          <w:szCs w:val="20"/>
        </w:rPr>
      </w:pPr>
      <w:r>
        <w:rPr>
          <w:sz w:val="20"/>
          <w:szCs w:val="20"/>
        </w:rPr>
        <w:pict w14:anchorId="55245DBF">
          <v:rect id="_x0000_i1031" style="width:0;height:1.5pt" o:hralign="center" o:hrstd="t" o:hr="t" fillcolor="#a0a0a0" stroked="f"/>
        </w:pict>
      </w:r>
    </w:p>
    <w:p w14:paraId="3BA99B8C" w14:textId="44E77A66" w:rsidR="00A74FA1" w:rsidRPr="00A74FA1" w:rsidRDefault="00A74FA1" w:rsidP="00A74FA1">
      <w:pPr>
        <w:spacing w:line="240" w:lineRule="auto"/>
        <w:rPr>
          <w:rFonts w:ascii="Calibri" w:hAnsi="Calibri" w:cs="Calibri"/>
          <w:sz w:val="20"/>
          <w:szCs w:val="20"/>
        </w:rPr>
      </w:pPr>
      <w:r>
        <w:rPr>
          <w:rFonts w:ascii="Calibri" w:hAnsi="Calibri" w:cs="Calibri"/>
          <w:b/>
          <w:bCs/>
          <w:sz w:val="20"/>
          <w:szCs w:val="20"/>
        </w:rPr>
        <w:t>Education</w:t>
      </w:r>
      <w:r>
        <w:rPr>
          <w:rFonts w:ascii="Calibri" w:hAnsi="Calibri" w:cs="Calibri"/>
          <w:b/>
          <w:bCs/>
          <w:sz w:val="20"/>
          <w:szCs w:val="20"/>
        </w:rPr>
        <w:br/>
      </w:r>
      <w:r w:rsidRPr="00A74FA1">
        <w:rPr>
          <w:rFonts w:ascii="Calibri" w:hAnsi="Calibri" w:cs="Calibri"/>
          <w:sz w:val="20"/>
          <w:szCs w:val="20"/>
        </w:rPr>
        <w:br/>
      </w:r>
      <w:r w:rsidRPr="00A74FA1">
        <w:rPr>
          <w:rFonts w:ascii="Calibri" w:hAnsi="Calibri" w:cs="Calibri"/>
          <w:b/>
          <w:bCs/>
          <w:sz w:val="20"/>
          <w:szCs w:val="20"/>
        </w:rPr>
        <w:t>Bachelor of Science, Cybersecurity &amp; Information Assurance (In Progress)</w:t>
      </w:r>
      <w:r w:rsidRPr="00A74FA1">
        <w:rPr>
          <w:rFonts w:ascii="Calibri" w:hAnsi="Calibri" w:cs="Calibri"/>
          <w:sz w:val="20"/>
          <w:szCs w:val="20"/>
        </w:rPr>
        <w:br/>
        <w:t>Western Governors University</w:t>
      </w:r>
    </w:p>
    <w:p w14:paraId="74C119BB" w14:textId="77777777" w:rsidR="00A74FA1" w:rsidRPr="00A74FA1" w:rsidRDefault="00A74FA1" w:rsidP="00A74FA1">
      <w:pPr>
        <w:spacing w:line="240" w:lineRule="auto"/>
        <w:rPr>
          <w:rFonts w:ascii="Calibri" w:hAnsi="Calibri" w:cs="Calibri"/>
          <w:sz w:val="20"/>
          <w:szCs w:val="20"/>
        </w:rPr>
      </w:pPr>
      <w:r w:rsidRPr="00A74FA1">
        <w:rPr>
          <w:rFonts w:ascii="Calibri" w:hAnsi="Calibri" w:cs="Calibri"/>
          <w:b/>
          <w:bCs/>
          <w:sz w:val="20"/>
          <w:szCs w:val="20"/>
        </w:rPr>
        <w:t>Associate of Science, Information Technology</w:t>
      </w:r>
      <w:r w:rsidRPr="00A74FA1">
        <w:rPr>
          <w:rFonts w:ascii="Calibri" w:hAnsi="Calibri" w:cs="Calibri"/>
          <w:sz w:val="20"/>
          <w:szCs w:val="20"/>
        </w:rPr>
        <w:br/>
        <w:t>Central Georgia Technical College</w:t>
      </w:r>
    </w:p>
    <w:p w14:paraId="10641212" w14:textId="77777777" w:rsidR="00E04876" w:rsidRDefault="00E04876" w:rsidP="00A74FA1">
      <w:pPr>
        <w:spacing w:line="240" w:lineRule="auto"/>
      </w:pPr>
    </w:p>
    <w:sectPr w:rsidR="00E04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3190"/>
    <w:multiLevelType w:val="multilevel"/>
    <w:tmpl w:val="4C84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E2D9E"/>
    <w:multiLevelType w:val="multilevel"/>
    <w:tmpl w:val="A19A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81F67"/>
    <w:multiLevelType w:val="multilevel"/>
    <w:tmpl w:val="DF5A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81BA1"/>
    <w:multiLevelType w:val="multilevel"/>
    <w:tmpl w:val="5A36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599261">
    <w:abstractNumId w:val="0"/>
  </w:num>
  <w:num w:numId="2" w16cid:durableId="414017391">
    <w:abstractNumId w:val="1"/>
  </w:num>
  <w:num w:numId="3" w16cid:durableId="876698668">
    <w:abstractNumId w:val="3"/>
  </w:num>
  <w:num w:numId="4" w16cid:durableId="197729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A1"/>
    <w:rsid w:val="00003526"/>
    <w:rsid w:val="00055BD9"/>
    <w:rsid w:val="000B4D53"/>
    <w:rsid w:val="0018525E"/>
    <w:rsid w:val="00287B2D"/>
    <w:rsid w:val="0033533C"/>
    <w:rsid w:val="00377051"/>
    <w:rsid w:val="0041658E"/>
    <w:rsid w:val="00485604"/>
    <w:rsid w:val="00663F49"/>
    <w:rsid w:val="00670747"/>
    <w:rsid w:val="008E6702"/>
    <w:rsid w:val="008F35A5"/>
    <w:rsid w:val="00A7049E"/>
    <w:rsid w:val="00A74FA1"/>
    <w:rsid w:val="00B4797E"/>
    <w:rsid w:val="00C67E12"/>
    <w:rsid w:val="00D32200"/>
    <w:rsid w:val="00E04876"/>
    <w:rsid w:val="00E278C4"/>
    <w:rsid w:val="00E70835"/>
    <w:rsid w:val="00EE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EB3B"/>
  <w15:chartTrackingRefBased/>
  <w15:docId w15:val="{66361224-4AC0-465B-9D1F-FD380249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FA1"/>
    <w:rPr>
      <w:rFonts w:eastAsiaTheme="majorEastAsia" w:cstheme="majorBidi"/>
      <w:color w:val="272727" w:themeColor="text1" w:themeTint="D8"/>
    </w:rPr>
  </w:style>
  <w:style w:type="paragraph" w:styleId="Title">
    <w:name w:val="Title"/>
    <w:basedOn w:val="Normal"/>
    <w:next w:val="Normal"/>
    <w:link w:val="TitleChar"/>
    <w:uiPriority w:val="10"/>
    <w:qFormat/>
    <w:rsid w:val="00A7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FA1"/>
    <w:pPr>
      <w:spacing w:before="160"/>
      <w:jc w:val="center"/>
    </w:pPr>
    <w:rPr>
      <w:i/>
      <w:iCs/>
      <w:color w:val="404040" w:themeColor="text1" w:themeTint="BF"/>
    </w:rPr>
  </w:style>
  <w:style w:type="character" w:customStyle="1" w:styleId="QuoteChar">
    <w:name w:val="Quote Char"/>
    <w:basedOn w:val="DefaultParagraphFont"/>
    <w:link w:val="Quote"/>
    <w:uiPriority w:val="29"/>
    <w:rsid w:val="00A74FA1"/>
    <w:rPr>
      <w:i/>
      <w:iCs/>
      <w:color w:val="404040" w:themeColor="text1" w:themeTint="BF"/>
    </w:rPr>
  </w:style>
  <w:style w:type="paragraph" w:styleId="ListParagraph">
    <w:name w:val="List Paragraph"/>
    <w:basedOn w:val="Normal"/>
    <w:uiPriority w:val="34"/>
    <w:qFormat/>
    <w:rsid w:val="00A74FA1"/>
    <w:pPr>
      <w:ind w:left="720"/>
      <w:contextualSpacing/>
    </w:pPr>
  </w:style>
  <w:style w:type="character" w:styleId="IntenseEmphasis">
    <w:name w:val="Intense Emphasis"/>
    <w:basedOn w:val="DefaultParagraphFont"/>
    <w:uiPriority w:val="21"/>
    <w:qFormat/>
    <w:rsid w:val="00A74FA1"/>
    <w:rPr>
      <w:i/>
      <w:iCs/>
      <w:color w:val="0F4761" w:themeColor="accent1" w:themeShade="BF"/>
    </w:rPr>
  </w:style>
  <w:style w:type="paragraph" w:styleId="IntenseQuote">
    <w:name w:val="Intense Quote"/>
    <w:basedOn w:val="Normal"/>
    <w:next w:val="Normal"/>
    <w:link w:val="IntenseQuoteChar"/>
    <w:uiPriority w:val="30"/>
    <w:qFormat/>
    <w:rsid w:val="00A7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FA1"/>
    <w:rPr>
      <w:i/>
      <w:iCs/>
      <w:color w:val="0F4761" w:themeColor="accent1" w:themeShade="BF"/>
    </w:rPr>
  </w:style>
  <w:style w:type="character" w:styleId="IntenseReference">
    <w:name w:val="Intense Reference"/>
    <w:basedOn w:val="DefaultParagraphFont"/>
    <w:uiPriority w:val="32"/>
    <w:qFormat/>
    <w:rsid w:val="00A74FA1"/>
    <w:rPr>
      <w:b/>
      <w:bCs/>
      <w:smallCaps/>
      <w:color w:val="0F4761" w:themeColor="accent1" w:themeShade="BF"/>
      <w:spacing w:val="5"/>
    </w:rPr>
  </w:style>
  <w:style w:type="character" w:styleId="Hyperlink">
    <w:name w:val="Hyperlink"/>
    <w:basedOn w:val="DefaultParagraphFont"/>
    <w:uiPriority w:val="99"/>
    <w:unhideWhenUsed/>
    <w:rsid w:val="00A74FA1"/>
    <w:rPr>
      <w:color w:val="467886" w:themeColor="hyperlink"/>
      <w:u w:val="single"/>
    </w:rPr>
  </w:style>
  <w:style w:type="character" w:styleId="UnresolvedMention">
    <w:name w:val="Unresolved Mention"/>
    <w:basedOn w:val="DefaultParagraphFont"/>
    <w:uiPriority w:val="99"/>
    <w:semiHidden/>
    <w:unhideWhenUsed/>
    <w:rsid w:val="00A7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oshseigel/" TargetMode="External"/><Relationship Id="rId5" Type="http://schemas.openxmlformats.org/officeDocument/2006/relationships/hyperlink" Target="mailto:seigel.josh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Seigel</dc:creator>
  <cp:keywords/>
  <dc:description/>
  <cp:lastModifiedBy>Josh Seigel</cp:lastModifiedBy>
  <cp:revision>17</cp:revision>
  <dcterms:created xsi:type="dcterms:W3CDTF">2026-03-01T03:02:00Z</dcterms:created>
  <dcterms:modified xsi:type="dcterms:W3CDTF">2026-05-05T18:27:00Z</dcterms:modified>
</cp:coreProperties>
</file>